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Δ/νση :</w:t>
            </w:r>
          </w:p>
          <w:p w14:paraId="1A298B37"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51BA2051" w14:textId="68D85B0D"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114947/29.11.2022 «Εθνικοί κανόνες </w:t>
      </w:r>
      <w:proofErr w:type="spellStart"/>
      <w:r w:rsidRPr="00845951">
        <w:rPr>
          <w:rFonts w:ascii="Tahoma" w:hAnsi="Tahoma" w:cs="Tahoma"/>
        </w:rPr>
        <w:t>επιλεξιμότητας</w:t>
      </w:r>
      <w:proofErr w:type="spellEnd"/>
      <w:r w:rsidRPr="00845951">
        <w:rPr>
          <w:rFonts w:ascii="Tahoma" w:hAnsi="Tahoma" w:cs="Tahoma"/>
        </w:rPr>
        <w:t xml:space="preserve"> δαπανών για τα προγράμματα του ΕΣΠΑ 2021 – 2027» (ΦΕΚ Β 6132)</w:t>
      </w:r>
    </w:p>
    <w:p w14:paraId="6C76AFC5" w14:textId="4F29E168"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w:t>
      </w:r>
      <w:proofErr w:type="spellStart"/>
      <w:r w:rsidRPr="00845951">
        <w:rPr>
          <w:rFonts w:ascii="Tahoma" w:hAnsi="Tahoma" w:cs="Tahoma"/>
        </w:rPr>
        <w:t>αριθμ</w:t>
      </w:r>
      <w:proofErr w:type="spellEnd"/>
      <w:r w:rsidRPr="00845951">
        <w:rPr>
          <w:rFonts w:ascii="Tahoma" w:hAnsi="Tahoma" w:cs="Tahoma"/>
        </w:rPr>
        <w:t>.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20420B6F" w14:textId="4E77753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Κοινή Υπουργική Απόφαση </w:t>
      </w:r>
      <w:proofErr w:type="spellStart"/>
      <w:r w:rsidRPr="00845951">
        <w:rPr>
          <w:rFonts w:ascii="Tahoma" w:hAnsi="Tahoma" w:cs="Tahoma"/>
        </w:rPr>
        <w:t>αριθμ</w:t>
      </w:r>
      <w:proofErr w:type="spellEnd"/>
      <w:r w:rsidRPr="00845951">
        <w:rPr>
          <w:rFonts w:ascii="Tahoma" w:hAnsi="Tahoma" w:cs="Tahoma"/>
        </w:rPr>
        <w:t xml:space="preserve">. 5483/20.01.2023 (ΦΕΚ Β’ 390)  «Διαδικασίες δημοσιονομικών διορθώσεων και αναζήτησης </w:t>
      </w:r>
      <w:proofErr w:type="spellStart"/>
      <w:r w:rsidRPr="00845951">
        <w:rPr>
          <w:rFonts w:ascii="Tahoma" w:hAnsi="Tahoma" w:cs="Tahoma"/>
        </w:rPr>
        <w:t>αχρεωστήτως</w:t>
      </w:r>
      <w:proofErr w:type="spellEnd"/>
      <w:r w:rsidRPr="00845951">
        <w:rPr>
          <w:rFonts w:ascii="Tahoma" w:hAnsi="Tahoma" w:cs="Tahoma"/>
        </w:rPr>
        <w:t xml:space="preserve"> ή παρανόμως καταβληθέντων ποσών στα Τομεακά και Περιφερειακά Προγράμματα του ΕΣΠΑ 2021-2027»</w:t>
      </w:r>
    </w:p>
    <w:p w14:paraId="20BD6656" w14:textId="57D91E0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w:t>
      </w:r>
      <w:proofErr w:type="spellStart"/>
      <w:r w:rsidRPr="00845951">
        <w:rPr>
          <w:rFonts w:ascii="Tahoma" w:hAnsi="Tahoma" w:cs="Tahoma"/>
        </w:rPr>
        <w:t>αριθμ</w:t>
      </w:r>
      <w:proofErr w:type="spellEnd"/>
      <w:r w:rsidRPr="00845951">
        <w:rPr>
          <w:rFonts w:ascii="Tahoma" w:hAnsi="Tahoma" w:cs="Tahoma"/>
        </w:rPr>
        <w:t>. 114274/28.11.2022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Β’ 6131)</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lastRenderedPageBreak/>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lastRenderedPageBreak/>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5F63AE72" w:rsidR="00A50D64" w:rsidRDefault="00A50D64" w:rsidP="00383C77">
      <w:pPr>
        <w:spacing w:line="276" w:lineRule="auto"/>
      </w:pPr>
    </w:p>
    <w:p w14:paraId="0E2829AD" w14:textId="30968473" w:rsidR="00A50D64" w:rsidRDefault="00A50D64" w:rsidP="00A50D64">
      <w:pPr>
        <w:tabs>
          <w:tab w:val="left" w:pos="6450"/>
        </w:tabs>
      </w:pPr>
      <w:r>
        <w:tab/>
      </w:r>
    </w:p>
    <w:p w14:paraId="7D3A39D4" w14:textId="3DC98289" w:rsidR="00A50D64" w:rsidRDefault="00A50D64" w:rsidP="00A50D64"/>
    <w:p w14:paraId="76A199CF" w14:textId="77777777" w:rsidR="003B1E34" w:rsidRPr="00A50D64" w:rsidRDefault="003B1E34" w:rsidP="00A50D64">
      <w:pPr>
        <w:rPr>
          <w:ins w:id="0" w:author="Αρβανίτη , Αναστασία" w:date="2022-09-19T12:41:00Z"/>
        </w:rPr>
        <w:sectPr w:rsidR="003B1E34" w:rsidRPr="00A50D64" w:rsidSect="00E57A4E">
          <w:footerReference w:type="default" r:id="rId11"/>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Sum</w:t>
            </w:r>
            <w:proofErr w:type="spellEnd"/>
            <w:r w:rsidRPr="00BF6F49">
              <w:rPr>
                <w:rFonts w:ascii="Tahoma" w:hAnsi="Tahoma" w:cs="Tahoma"/>
                <w:b/>
                <w:bCs/>
                <w:sz w:val="15"/>
                <w:szCs w:val="15"/>
              </w:rPr>
              <w:t>)</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1"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w:t>
            </w:r>
            <w:proofErr w:type="spellStart"/>
            <w:r w:rsidRPr="00E1766D">
              <w:rPr>
                <w:rFonts w:ascii="Tahoma" w:hAnsi="Tahoma" w:cs="Tahoma"/>
                <w:i/>
              </w:rPr>
              <w:t>αα1</w:t>
            </w:r>
            <w:proofErr w:type="spellEnd"/>
            <w:r w:rsidRPr="00E1766D">
              <w:rPr>
                <w:rFonts w:ascii="Tahoma" w:hAnsi="Tahoma" w:cs="Tahoma"/>
                <w:i/>
              </w:rPr>
              <w:t>)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w:t>
            </w:r>
            <w:proofErr w:type="spellStart"/>
            <w:r w:rsidRPr="00E1766D">
              <w:rPr>
                <w:rFonts w:ascii="Tahoma" w:hAnsi="Tahoma" w:cs="Tahoma"/>
                <w:i/>
              </w:rPr>
              <w:t>Sum</w:t>
            </w:r>
            <w:proofErr w:type="spellEnd"/>
            <w:r w:rsidRPr="00E1766D">
              <w:rPr>
                <w:rFonts w:ascii="Tahoma" w:hAnsi="Tahoma" w:cs="Tahoma"/>
                <w:i/>
              </w:rPr>
              <w:t>)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57690D0D" w14:textId="77777777" w:rsidR="005D6393" w:rsidRPr="005D6393"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w:t>
      </w:r>
      <w:r w:rsidR="005D6393" w:rsidRPr="00166BEF">
        <w:rPr>
          <w:rFonts w:ascii="Tahoma" w:hAnsi="Tahoma" w:cs="Tahoma"/>
          <w:i/>
          <w:sz w:val="20"/>
          <w:szCs w:val="20"/>
        </w:rPr>
        <w:t>(</w:t>
      </w:r>
      <w:r w:rsidR="005D6393">
        <w:rPr>
          <w:rFonts w:ascii="Tahoma" w:hAnsi="Tahoma" w:cs="Tahoma"/>
          <w:i/>
          <w:sz w:val="20"/>
          <w:szCs w:val="20"/>
        </w:rPr>
        <w:t>Τ</w:t>
      </w:r>
      <w:r w:rsidR="005D6393" w:rsidRPr="00166BEF">
        <w:rPr>
          <w:rFonts w:ascii="Tahoma" w:hAnsi="Tahoma" w:cs="Tahoma"/>
          <w:i/>
          <w:sz w:val="20"/>
          <w:szCs w:val="20"/>
        </w:rPr>
        <w:t xml:space="preserve">ο είδος πληρωμής της </w:t>
      </w:r>
      <w:r w:rsidR="005D6393">
        <w:rPr>
          <w:rFonts w:ascii="Tahoma" w:hAnsi="Tahoma" w:cs="Tahoma"/>
          <w:i/>
          <w:sz w:val="20"/>
          <w:szCs w:val="20"/>
        </w:rPr>
        <w:t>π</w:t>
      </w:r>
      <w:r w:rsidR="005D6393" w:rsidRPr="00166BEF">
        <w:rPr>
          <w:rFonts w:ascii="Tahoma" w:hAnsi="Tahoma" w:cs="Tahoma"/>
          <w:i/>
          <w:sz w:val="20"/>
          <w:szCs w:val="20"/>
        </w:rPr>
        <w:t xml:space="preserve">ράξης: άμεση πληρωμή, έμμεση πληρωμή-επιχορήγηση, έμμεση πληρωμή-Ειδικός Λογαριασμός και άλλου είδους </w:t>
      </w:r>
      <w:proofErr w:type="spellStart"/>
      <w:r w:rsidR="005D6393" w:rsidRPr="00166BEF">
        <w:rPr>
          <w:rFonts w:ascii="Tahoma" w:hAnsi="Tahoma" w:cs="Tahoma"/>
          <w:i/>
          <w:sz w:val="20"/>
          <w:szCs w:val="20"/>
        </w:rPr>
        <w:t>πληρωμή)</w:t>
      </w:r>
      <w:proofErr w:type="spellEnd"/>
    </w:p>
    <w:p w14:paraId="3246BC59" w14:textId="742692AC" w:rsidR="00BB047F" w:rsidRPr="00166BEF" w:rsidRDefault="00D76A1E" w:rsidP="005D6393">
      <w:pPr>
        <w:pStyle w:val="af2"/>
        <w:spacing w:after="160"/>
        <w:ind w:left="567"/>
        <w:rPr>
          <w:rFonts w:ascii="Tahoma" w:hAnsi="Tahoma" w:cs="Tahoma"/>
          <w:sz w:val="20"/>
          <w:szCs w:val="20"/>
        </w:rPr>
      </w:pPr>
      <w:bookmarkStart w:id="2" w:name="_GoBack"/>
      <w:bookmarkEnd w:id="2"/>
      <w:r w:rsidRPr="00166BEF">
        <w:rPr>
          <w:rFonts w:ascii="Tahoma" w:hAnsi="Tahoma" w:cs="Tahoma"/>
          <w:sz w:val="20"/>
          <w:szCs w:val="20"/>
        </w:rPr>
        <w:t xml:space="preserve">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22"/>
        <w:gridCol w:w="1972"/>
        <w:gridCol w:w="1479"/>
        <w:gridCol w:w="2220"/>
        <w:gridCol w:w="2218"/>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lastRenderedPageBreak/>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i/>
        </w:rPr>
        <w:t>απολογίζουν</w:t>
      </w:r>
      <w:proofErr w:type="spellEnd"/>
      <w:r w:rsidRPr="002526F0">
        <w:rPr>
          <w:rFonts w:ascii="Tahoma" w:hAnsi="Tahoma" w:cs="Tahoma"/>
          <w:i/>
        </w:rPr>
        <w:t xml:space="preserve"> ανά φύλο (άνδρες-</w:t>
      </w:r>
      <w:proofErr w:type="spellStart"/>
      <w:r w:rsidRPr="002526F0">
        <w:rPr>
          <w:rFonts w:ascii="Tahoma" w:hAnsi="Tahoma" w:cs="Tahoma"/>
          <w:i/>
        </w:rPr>
        <w:t>γυναίκε</w:t>
      </w:r>
      <w:proofErr w:type="spellEnd"/>
      <w:r w:rsidRPr="002526F0">
        <w:rPr>
          <w:rFonts w:ascii="Tahoma" w:hAnsi="Tahoma" w:cs="Tahoma"/>
          <w:i/>
        </w:rPr>
        <w:t xml:space="preserve">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rPr>
        <w:t>απολογίζουν</w:t>
      </w:r>
      <w:proofErr w:type="spellEnd"/>
      <w:r w:rsidRPr="002526F0">
        <w:rPr>
          <w:rFonts w:ascii="Tahoma" w:hAnsi="Tahoma" w:cs="Tahoma"/>
        </w:rPr>
        <w:t xml:space="preserve"> ανά φύλο (άνδρες-</w:t>
      </w:r>
      <w:proofErr w:type="spellStart"/>
      <w:r w:rsidRPr="002526F0">
        <w:rPr>
          <w:rFonts w:ascii="Tahoma" w:hAnsi="Tahoma" w:cs="Tahoma"/>
        </w:rPr>
        <w:t>γυναίκε</w:t>
      </w:r>
      <w:proofErr w:type="spellEnd"/>
      <w:r w:rsidRPr="002526F0">
        <w:rPr>
          <w:rFonts w:ascii="Tahoma" w:hAnsi="Tahoma" w:cs="Tahoma"/>
        </w:rPr>
        <w:t xml:space="preserve">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2526F0">
        <w:rPr>
          <w:rFonts w:ascii="Tahoma" w:hAnsi="Tahoma" w:cs="Tahoma"/>
          <w:i/>
        </w:rPr>
        <w:t>παρόχους</w:t>
      </w:r>
      <w:proofErr w:type="spellEnd"/>
      <w:r w:rsidRPr="002526F0">
        <w:rPr>
          <w:rFonts w:ascii="Tahoma" w:hAnsi="Tahoma" w:cs="Tahoma"/>
          <w:i/>
        </w:rPr>
        <w:t xml:space="preserve">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w:t>
      </w:r>
      <w:proofErr w:type="spellStart"/>
      <w:r w:rsidRPr="002526F0">
        <w:rPr>
          <w:rFonts w:ascii="Tahoma" w:hAnsi="Tahoma" w:cs="Tahoma"/>
          <w:i/>
          <w:lang w:val="en-US"/>
        </w:rPr>
        <w:t>ληροφορίες</w:t>
      </w:r>
      <w:proofErr w:type="spellEnd"/>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w:t>
      </w:r>
      <w:r w:rsidRPr="002526F0">
        <w:rPr>
          <w:rFonts w:ascii="Tahoma" w:hAnsi="Tahoma" w:cs="Tahoma"/>
        </w:rPr>
        <w:lastRenderedPageBreak/>
        <w:t xml:space="preserve">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Pr="002526F0">
        <w:rPr>
          <w:rFonts w:ascii="Tahoma" w:hAnsi="Tahoma" w:cs="Tahoma"/>
        </w:rPr>
        <w:t>αποτέπεται</w:t>
      </w:r>
      <w:proofErr w:type="spellEnd"/>
      <w:r w:rsidRPr="002526F0">
        <w:rPr>
          <w:rFonts w:ascii="Tahoma" w:hAnsi="Tahoma" w:cs="Tahoma"/>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 xml:space="preserve">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w:t>
      </w:r>
      <w:r w:rsidRPr="002526F0">
        <w:rPr>
          <w:rFonts w:ascii="Tahoma" w:hAnsi="Tahoma" w:cs="Tahoma"/>
        </w:rPr>
        <w:lastRenderedPageBreak/>
        <w:t>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2" w:history="1">
        <w:r w:rsidRPr="002526F0">
          <w:rPr>
            <w:rFonts w:ascii="Tahoma" w:hAnsi="Tahoma" w:cs="Tahoma"/>
            <w:color w:val="0000FF"/>
            <w:u w:val="single"/>
            <w:lang w:val="en-US"/>
          </w:rPr>
          <w:t>www</w:t>
        </w:r>
        <w:r w:rsidRPr="002526F0">
          <w:rPr>
            <w:rFonts w:ascii="Tahoma" w:hAnsi="Tahoma" w:cs="Tahoma"/>
            <w:color w:val="0000FF"/>
            <w:u w:val="single"/>
          </w:rPr>
          <w:t>.</w:t>
        </w:r>
        <w:proofErr w:type="spellStart"/>
        <w:r w:rsidRPr="002526F0">
          <w:rPr>
            <w:rFonts w:ascii="Tahoma" w:hAnsi="Tahoma" w:cs="Tahoma"/>
            <w:color w:val="0000FF"/>
            <w:u w:val="single"/>
            <w:lang w:val="en-US"/>
          </w:rPr>
          <w:t>espa</w:t>
        </w:r>
        <w:proofErr w:type="spellEnd"/>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w:t>
      </w:r>
      <w:proofErr w:type="spellStart"/>
      <w:r w:rsidRPr="002526F0">
        <w:rPr>
          <w:rFonts w:ascii="Tahoma" w:hAnsi="Tahoma" w:cs="Tahoma"/>
        </w:rPr>
        <w:t>ενωσιακής</w:t>
      </w:r>
      <w:proofErr w:type="spellEnd"/>
      <w:r w:rsidRPr="002526F0">
        <w:rPr>
          <w:rFonts w:ascii="Tahoma" w:hAnsi="Tahoma" w:cs="Tahoma"/>
        </w:rPr>
        <w:t xml:space="preserve">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w:t>
      </w:r>
      <w:proofErr w:type="spellStart"/>
      <w:r w:rsidRPr="002526F0">
        <w:rPr>
          <w:rFonts w:ascii="Tahoma" w:hAnsi="Tahoma" w:cs="Tahoma"/>
        </w:rPr>
        <w:t>γεωντοπισμός</w:t>
      </w:r>
      <w:proofErr w:type="spellEnd"/>
      <w:r w:rsidRPr="002526F0">
        <w:rPr>
          <w:rFonts w:ascii="Tahoma" w:hAnsi="Tahoma" w:cs="Tahoma"/>
        </w:rPr>
        <w:t xml:space="preserve">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 xml:space="preserve">Να παρέχει στον επίσημο </w:t>
      </w:r>
      <w:proofErr w:type="spellStart"/>
      <w:r w:rsidRPr="002526F0">
        <w:rPr>
          <w:rFonts w:ascii="Tahoma" w:hAnsi="Tahoma" w:cs="Tahoma"/>
        </w:rPr>
        <w:t>ιστότοπο</w:t>
      </w:r>
      <w:proofErr w:type="spellEnd"/>
      <w:r w:rsidRPr="002526F0">
        <w:rPr>
          <w:rFonts w:ascii="Tahoma" w:hAnsi="Tahoma" w:cs="Tahoma"/>
        </w:rPr>
        <w:t xml:space="preserve"> που διατηρεί, εάν διατηρεί, και στους </w:t>
      </w:r>
      <w:proofErr w:type="spellStart"/>
      <w:r w:rsidRPr="002526F0">
        <w:rPr>
          <w:rFonts w:ascii="Tahoma" w:hAnsi="Tahoma" w:cs="Tahoma"/>
        </w:rPr>
        <w:t>ιστότοπους</w:t>
      </w:r>
      <w:proofErr w:type="spellEnd"/>
      <w:r w:rsidRPr="002526F0">
        <w:rPr>
          <w:rFonts w:ascii="Tahoma" w:hAnsi="Tahoma" w:cs="Tahoma"/>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lastRenderedPageBreak/>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13232D">
        <w:rPr>
          <w:rFonts w:ascii="Tahoma" w:hAnsi="Tahoma" w:cs="Tahoma"/>
          <w:i/>
        </w:rPr>
        <w:t>site</w:t>
      </w:r>
      <w:proofErr w:type="spellEnd"/>
      <w:r w:rsidRPr="0013232D">
        <w:rPr>
          <w:rFonts w:ascii="Tahoma" w:hAnsi="Tahoma" w:cs="Tahoma"/>
          <w:i/>
        </w:rPr>
        <w:t xml:space="preserv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3B8E5323"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w:t>
      </w:r>
      <w:r w:rsidR="008C2299">
        <w:rPr>
          <w:rFonts w:ascii="Tahoma" w:hAnsi="Tahoma" w:cs="Tahoma"/>
        </w:rPr>
        <w:t>π</w:t>
      </w:r>
      <w:r w:rsidRPr="002526F0">
        <w:rPr>
          <w:rFonts w:ascii="Tahoma" w:hAnsi="Tahoma" w:cs="Tahoma"/>
        </w:rPr>
        <w:t xml:space="preserve">οιείται η τελευταία πληρωμή προς το δικαιούχο ή για την περίοδο που προσδιορίζεται στους κανόνες κρατικών ενισχύσεων (για πράξεις </w:t>
      </w:r>
      <w:proofErr w:type="spellStart"/>
      <w:r w:rsidRPr="002526F0">
        <w:rPr>
          <w:rFonts w:ascii="Tahoma" w:hAnsi="Tahoma" w:cs="Tahoma"/>
        </w:rPr>
        <w:t>ήσσσονος</w:t>
      </w:r>
      <w:proofErr w:type="spellEnd"/>
      <w:r w:rsidRPr="002526F0">
        <w:rPr>
          <w:rFonts w:ascii="Tahoma" w:hAnsi="Tahoma" w:cs="Tahoma"/>
        </w:rPr>
        <w:t xml:space="preserve">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2526F0">
        <w:rPr>
          <w:rFonts w:ascii="Tahoma" w:hAnsi="Tahoma" w:cs="Tahoma"/>
        </w:rPr>
        <w:t>επικαιροποιημένων</w:t>
      </w:r>
      <w:proofErr w:type="spellEnd"/>
      <w:r w:rsidRPr="002526F0">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xml:space="preserve">),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3"/>
      <w:footerReference w:type="even" r:id="rId14"/>
      <w:footerReference w:type="default" r:id="rId15"/>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1A571B">
      <w:trPr>
        <w:trHeight w:val="699"/>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310BBBF1"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001A571B">
            <w:rPr>
              <w:rFonts w:ascii="Tahoma" w:hAnsi="Tahoma" w:cs="Tahoma"/>
              <w:bCs/>
              <w:sz w:val="16"/>
              <w:szCs w:val="16"/>
            </w:rPr>
            <w:t xml:space="preserve"> 2</w:t>
          </w:r>
          <w:r w:rsidRPr="000B6454">
            <w:rPr>
              <w:rFonts w:ascii="Tahoma" w:hAnsi="Tahoma" w:cs="Tahoma"/>
              <w:bCs/>
              <w:sz w:val="16"/>
              <w:szCs w:val="16"/>
              <w:vertAlign w:val="superscript"/>
            </w:rPr>
            <w:t>η</w:t>
          </w:r>
        </w:p>
        <w:p w14:paraId="0875C1B2" w14:textId="177A80FC" w:rsidR="00E57A4E" w:rsidRPr="00F65043" w:rsidRDefault="00E57A4E" w:rsidP="001A571B">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w:t>
          </w:r>
          <w:r w:rsidR="001A571B">
            <w:rPr>
              <w:rFonts w:ascii="Tahoma" w:hAnsi="Tahoma" w:cs="Tahoma"/>
              <w:bCs/>
              <w:sz w:val="16"/>
              <w:szCs w:val="16"/>
            </w:rPr>
            <w:t>Ιούνιος 2023</w:t>
          </w:r>
          <w:r w:rsidRPr="002C0DAC">
            <w:rPr>
              <w:rFonts w:ascii="Tahoma" w:hAnsi="Tahoma" w:cs="Tahoma"/>
              <w:bCs/>
              <w:sz w:val="16"/>
              <w:szCs w:val="16"/>
            </w:rPr>
            <w:t xml:space="preserve"> </w:t>
          </w:r>
        </w:p>
      </w:tc>
      <w:tc>
        <w:tcPr>
          <w:tcW w:w="2850" w:type="dxa"/>
          <w:shd w:val="clear" w:color="auto" w:fill="auto"/>
          <w:vAlign w:val="center"/>
        </w:tcPr>
        <w:p w14:paraId="28946D1B" w14:textId="2031A536"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5D6393">
            <w:rPr>
              <w:rFonts w:ascii="Tahoma" w:hAnsi="Tahoma" w:cs="Tahoma"/>
              <w:bCs/>
              <w:noProof/>
              <w:sz w:val="16"/>
              <w:szCs w:val="16"/>
            </w:rPr>
            <w:t>5</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6BAF15F0"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sidR="00E639FC">
                        <w:rPr>
                          <w:rFonts w:ascii="Tahoma" w:hAnsi="Tahoma" w:cs="Tahoma"/>
                          <w:bCs/>
                          <w:sz w:val="16"/>
                          <w:szCs w:val="16"/>
                        </w:rPr>
                        <w:t>2</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D80293B" w:rsidR="004A64EF" w:rsidRPr="009105E4" w:rsidRDefault="004A64EF" w:rsidP="00E639FC">
                      <w:pPr>
                        <w:ind w:left="-55"/>
                        <w:rPr>
                          <w:rFonts w:ascii="Tahoma" w:hAnsi="Tahoma" w:cs="Tahoma"/>
                          <w:bCs/>
                        </w:rPr>
                      </w:pPr>
                      <w:proofErr w:type="spellStart"/>
                      <w:r w:rsidRPr="007253AC">
                        <w:rPr>
                          <w:rFonts w:ascii="Tahoma" w:hAnsi="Tahoma" w:cs="Tahoma"/>
                          <w:bCs/>
                          <w:sz w:val="16"/>
                          <w:szCs w:val="16"/>
                        </w:rPr>
                        <w:t>Ημ</w:t>
                      </w:r>
                      <w:proofErr w:type="spellEnd"/>
                      <w:r w:rsidRPr="007253AC">
                        <w:rPr>
                          <w:rFonts w:ascii="Tahoma" w:hAnsi="Tahoma" w:cs="Tahoma"/>
                          <w:bCs/>
                          <w:sz w:val="16"/>
                          <w:szCs w:val="16"/>
                        </w:rPr>
                        <w:t>. Έκδοσης:</w:t>
                      </w:r>
                      <w:r>
                        <w:rPr>
                          <w:rFonts w:ascii="Tahoma" w:hAnsi="Tahoma" w:cs="Tahoma"/>
                          <w:bCs/>
                          <w:sz w:val="16"/>
                          <w:szCs w:val="16"/>
                        </w:rPr>
                        <w:t xml:space="preserve"> </w:t>
                      </w:r>
                      <w:r w:rsidR="00E639FC">
                        <w:rPr>
                          <w:rFonts w:ascii="Tahoma" w:hAnsi="Tahoma" w:cs="Tahoma"/>
                          <w:bCs/>
                          <w:sz w:val="16"/>
                          <w:szCs w:val="16"/>
                        </w:rPr>
                        <w:t>Ιούνιος 2023</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772387D7"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5D6393">
                        <w:rPr>
                          <w:rFonts w:ascii="Tahoma" w:hAnsi="Tahoma" w:cs="Tahoma"/>
                          <w:bCs/>
                          <w:noProof/>
                          <w:sz w:val="16"/>
                          <w:szCs w:val="16"/>
                        </w:rPr>
                        <w:t>2</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571B"/>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D6393"/>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951"/>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299"/>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0D64"/>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0731"/>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9FC"/>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A20"/>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37A6C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www.espa.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8" ma:contentTypeDescription="Create a new document." ma:contentTypeScope="" ma:versionID="34493fd85423ab231044d7ad7e036886">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78d57a5b6c7ea2402d6c485202522951"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75e43d0-c33c-4f3d-9b51-373a4780065c}" ma:internalName="TaxCatchAll" ma:showField="CatchAllData" ma:web="c01657e7-9998-4ce2-b5f1-7b965a198e0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8c36546-15db-4b13-9f7e-234dd66dae77"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01657e7-9998-4ce2-b5f1-7b965a198e0e" xsi:nil="true"/>
    <lcf76f155ced4ddcb4097134ff3c332f xmlns="762a31e6-5120-4607-b57b-8b309cdf9b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B7092B-1BEF-4169-99A3-3A4A907F0CC7}">
  <ds:schemaRefs>
    <ds:schemaRef ds:uri="http://schemas.openxmlformats.org/officeDocument/2006/bibliography"/>
  </ds:schemaRefs>
</ds:datastoreItem>
</file>

<file path=customXml/itemProps2.xml><?xml version="1.0" encoding="utf-8"?>
<ds:datastoreItem xmlns:ds="http://schemas.openxmlformats.org/officeDocument/2006/customXml" ds:itemID="{A43C449A-EBF1-47B5-8DBB-749E2E189533}"/>
</file>

<file path=customXml/itemProps3.xml><?xml version="1.0" encoding="utf-8"?>
<ds:datastoreItem xmlns:ds="http://schemas.openxmlformats.org/officeDocument/2006/customXml" ds:itemID="{E5045D26-8593-4A18-A969-11D01E01D0D4}"/>
</file>

<file path=customXml/itemProps4.xml><?xml version="1.0" encoding="utf-8"?>
<ds:datastoreItem xmlns:ds="http://schemas.openxmlformats.org/officeDocument/2006/customXml" ds:itemID="{6C4D98E6-6B45-4910-87BD-40000A08AC57}"/>
</file>

<file path=docProps/app.xml><?xml version="1.0" encoding="utf-8"?>
<Properties xmlns="http://schemas.openxmlformats.org/officeDocument/2006/extended-properties" xmlns:vt="http://schemas.openxmlformats.org/officeDocument/2006/docPropsVTypes">
  <Template>Normal</Template>
  <TotalTime>401</TotalTime>
  <Pages>14</Pages>
  <Words>4098</Words>
  <Characters>24610</Characters>
  <Application>Microsoft Office Word</Application>
  <DocSecurity>0</DocSecurity>
  <Lines>205</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Πρεβέντα, Μαρία</cp:lastModifiedBy>
  <cp:revision>26</cp:revision>
  <cp:lastPrinted>2022-11-14T16:54:00Z</cp:lastPrinted>
  <dcterms:created xsi:type="dcterms:W3CDTF">2022-11-07T15:06:00Z</dcterms:created>
  <dcterms:modified xsi:type="dcterms:W3CDTF">2023-06-19T12:22:00Z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